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3F60" w:rsidRPr="009769D0" w14:paraId="49AFB938" w14:textId="75618430">
      <w:pPr>
        <w:rPr>
          <w:rFonts w:ascii="Verdana" w:hAnsi="Verdana"/>
        </w:rPr>
      </w:pPr>
      <w:r w:rsidRPr="009769D0">
        <w:rPr>
          <w:rFonts w:ascii="Verdana" w:hAnsi="Verdana"/>
        </w:rPr>
        <w:t>Parecer Nº 152/2022 ao Projeto de Lei Nº 13/2022</w:t>
      </w:r>
    </w:p>
    <w:p w:rsidR="00A63F60" w:rsidRPr="009769D0" w14:paraId="39192664" w14:textId="14E29509">
      <w:pPr>
        <w:rPr>
          <w:rFonts w:ascii="Verdana" w:hAnsi="Verdana"/>
        </w:rPr>
      </w:pPr>
    </w:p>
    <w:p w:rsidR="00A63F60" w:rsidRPr="009769D0" w:rsidP="00A63F60" w14:paraId="537C316A" w14:textId="5F5A1FCA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>Senhor Presidente,</w:t>
      </w:r>
    </w:p>
    <w:p w:rsidR="00A63F60" w:rsidRPr="009769D0" w:rsidP="00A63F60" w14:paraId="1F828165" w14:textId="3C807038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>Senhores Vereadores,</w:t>
      </w:r>
    </w:p>
    <w:p w:rsidR="00A63F60" w:rsidRPr="009769D0" w:rsidP="00A63F60" w14:paraId="6A72406F" w14:textId="3C1EC65B">
      <w:pPr>
        <w:jc w:val="both"/>
        <w:rPr>
          <w:rFonts w:ascii="Verdana" w:hAnsi="Verdana"/>
        </w:rPr>
      </w:pPr>
    </w:p>
    <w:p w:rsidR="00A63F60" w:rsidRPr="009769D0" w:rsidP="00A63F60" w14:paraId="03AC5758" w14:textId="6A127DBF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>Trata o projeto de lei ora analisado, de número 13/22, de recriação do Fundo Social de Solidariedade do Município de Alumínio.</w:t>
      </w:r>
    </w:p>
    <w:p w:rsidR="00A63F60" w:rsidRPr="009769D0" w:rsidP="00A63F60" w14:paraId="626EFF39" w14:textId="29502112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</w:r>
      <w:r w:rsidRPr="009769D0" w:rsidR="002830F6">
        <w:rPr>
          <w:rFonts w:ascii="Verdana" w:hAnsi="Verdana"/>
        </w:rPr>
        <w:t>Justifica o Senhor Prefeito Municipal, autor do projeto de lei, a necessidade da recriação por várias situações que apresente na mensagem. O Fundo existe, por criação da Lei Municipal nº 23/1993, que será revogada caso seja aprovado o projeto de lei ora analisado.</w:t>
      </w:r>
    </w:p>
    <w:p w:rsidR="002830F6" w:rsidRPr="009769D0" w:rsidP="00A63F60" w14:paraId="02117C32" w14:textId="7E3CEA14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>Sobre a revogação integral de uma lei, como está sendo proposto aqui, vale citar a Lei de Introdução às Normas do Direito Brasileiro, conforme segue:</w:t>
      </w: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</w:r>
    </w:p>
    <w:p w:rsidR="008E0F13" w:rsidRPr="009769D0" w:rsidP="008E0F13" w14:paraId="4E603B5C" w14:textId="4A2CDFE3">
      <w:pPr>
        <w:pStyle w:val="NormalWeb"/>
        <w:ind w:left="1418"/>
        <w:jc w:val="both"/>
        <w:rPr>
          <w:rFonts w:ascii="Verdana" w:hAnsi="Verdana"/>
          <w:color w:val="000000"/>
          <w:sz w:val="22"/>
          <w:szCs w:val="22"/>
        </w:rPr>
      </w:pPr>
      <w:r w:rsidRPr="009769D0">
        <w:rPr>
          <w:rFonts w:ascii="Verdana" w:hAnsi="Verdana" w:cs="Arial"/>
          <w:color w:val="000000"/>
          <w:sz w:val="22"/>
          <w:szCs w:val="22"/>
        </w:rPr>
        <w:t>“</w:t>
      </w:r>
      <w:r w:rsidRPr="009769D0">
        <w:rPr>
          <w:rFonts w:ascii="Verdana" w:hAnsi="Verdana" w:cs="Arial"/>
          <w:color w:val="000000"/>
          <w:sz w:val="22"/>
          <w:szCs w:val="22"/>
        </w:rPr>
        <w:t>Art. 2</w:t>
      </w:r>
      <w:r w:rsidRPr="009769D0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9769D0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 xml:space="preserve"> -</w:t>
      </w:r>
      <w:r w:rsidRPr="009769D0">
        <w:rPr>
          <w:rFonts w:ascii="Verdana" w:hAnsi="Verdana" w:cs="Arial"/>
          <w:color w:val="000000"/>
          <w:sz w:val="22"/>
          <w:szCs w:val="22"/>
        </w:rPr>
        <w:t> Não se destinando à vigência temporária, a lei terá vigor até que outra a modifique ou revogue.</w:t>
      </w:r>
    </w:p>
    <w:p w:rsidR="008E0F13" w:rsidRPr="009769D0" w:rsidP="008E0F13" w14:paraId="5CD214CF" w14:textId="3695ED71">
      <w:pPr>
        <w:pStyle w:val="NormalWeb"/>
        <w:ind w:left="1418"/>
        <w:jc w:val="both"/>
        <w:rPr>
          <w:rFonts w:ascii="Verdana" w:hAnsi="Verdana"/>
          <w:color w:val="000000"/>
          <w:sz w:val="22"/>
          <w:szCs w:val="22"/>
        </w:rPr>
      </w:pPr>
      <w:r w:rsidRPr="009769D0">
        <w:rPr>
          <w:rFonts w:ascii="Verdana" w:hAnsi="Verdana" w:cs="Arial"/>
          <w:color w:val="000000"/>
          <w:sz w:val="22"/>
          <w:szCs w:val="22"/>
        </w:rPr>
        <w:t>§ 1</w:t>
      </w:r>
      <w:r w:rsidRPr="009769D0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9769D0">
        <w:rPr>
          <w:rFonts w:ascii="Verdana" w:hAnsi="Verdana" w:cs="Arial"/>
          <w:color w:val="000000"/>
          <w:sz w:val="22"/>
          <w:szCs w:val="22"/>
        </w:rPr>
        <w:t> </w:t>
      </w:r>
      <w:r w:rsidRPr="009769D0">
        <w:rPr>
          <w:rFonts w:ascii="Verdana" w:hAnsi="Verdana" w:cs="Arial"/>
          <w:color w:val="000000"/>
          <w:sz w:val="22"/>
          <w:szCs w:val="22"/>
        </w:rPr>
        <w:t>-</w:t>
      </w:r>
      <w:r w:rsidRPr="009769D0">
        <w:rPr>
          <w:rFonts w:ascii="Verdana" w:hAnsi="Verdana" w:cs="Arial"/>
          <w:color w:val="000000"/>
          <w:sz w:val="22"/>
          <w:szCs w:val="22"/>
        </w:rPr>
        <w:t> A lei posterior revoga a anterior quando expressamente o declare, quando seja com ela incompatível ou quando regule inteiramente a matéria de que tratava a lei anterior.</w:t>
      </w:r>
    </w:p>
    <w:p w:rsidR="008E0F13" w:rsidRPr="009769D0" w:rsidP="008E0F13" w14:paraId="221A19A9" w14:textId="108977BC">
      <w:pPr>
        <w:ind w:left="1418"/>
        <w:jc w:val="both"/>
        <w:rPr>
          <w:rFonts w:ascii="Verdana" w:hAnsi="Verdana"/>
        </w:rPr>
      </w:pPr>
      <w:r w:rsidRPr="009769D0">
        <w:rPr>
          <w:rFonts w:ascii="Verdana" w:hAnsi="Verdana"/>
        </w:rPr>
        <w:t>........................”.</w:t>
      </w:r>
    </w:p>
    <w:p w:rsidR="008E0F13" w:rsidRPr="009769D0" w:rsidP="00A63F60" w14:paraId="525D5686" w14:textId="13DC9648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 xml:space="preserve">Portanto, entendemos que não há qualquer impedimento </w:t>
      </w:r>
      <w:r w:rsidRPr="009769D0" w:rsidR="006434AC">
        <w:rPr>
          <w:rFonts w:ascii="Verdana" w:hAnsi="Verdana"/>
        </w:rPr>
        <w:t xml:space="preserve">para apreciação do projeto de lei ora analisado pelos Senhores Vereadores, por considerar que </w:t>
      </w:r>
      <w:r w:rsidRPr="009769D0" w:rsidR="006434AC">
        <w:rPr>
          <w:rFonts w:ascii="Verdana" w:hAnsi="Verdana"/>
        </w:rPr>
        <w:t>encontra-se</w:t>
      </w:r>
      <w:r w:rsidRPr="009769D0" w:rsidR="006434AC">
        <w:rPr>
          <w:rFonts w:ascii="Verdana" w:hAnsi="Verdana"/>
        </w:rPr>
        <w:t xml:space="preserve"> perfeito. A análise do mérito cabe exclusivamente aos Nobres Edis.</w:t>
      </w:r>
    </w:p>
    <w:p w:rsidR="009769D0" w:rsidRPr="009769D0" w:rsidP="00A63F60" w14:paraId="733DC653" w14:textId="5984332B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 xml:space="preserve">O projeto de lei deverá ser submetido a fase única de discussão e votação, e para sua aprovação serão necessários os votos da maioria simples dos Nobres Edis, tudo conforme os </w:t>
      </w:r>
      <w:r w:rsidRPr="009769D0">
        <w:rPr>
          <w:rFonts w:ascii="Verdana" w:hAnsi="Verdana"/>
        </w:rPr>
        <w:t>Arts</w:t>
      </w:r>
      <w:r w:rsidRPr="009769D0">
        <w:rPr>
          <w:rFonts w:ascii="Verdana" w:hAnsi="Verdana"/>
        </w:rPr>
        <w:t>. 238 e 251 do Regimento Internos, respectivamente.</w:t>
      </w:r>
    </w:p>
    <w:p w:rsidR="009769D0" w:rsidRPr="009769D0" w:rsidP="00A63F60" w14:paraId="3FABD60F" w14:textId="3B9DE21B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>Salvo melhor juízo, é o nosso parecer.</w:t>
      </w:r>
    </w:p>
    <w:p w:rsidR="009769D0" w:rsidRPr="009769D0" w:rsidP="00A63F60" w14:paraId="579C75F9" w14:textId="2866AB99">
      <w:pPr>
        <w:jc w:val="both"/>
        <w:rPr>
          <w:rFonts w:ascii="Verdana" w:hAnsi="Verdana"/>
        </w:rPr>
      </w:pPr>
    </w:p>
    <w:p w:rsidR="009769D0" w:rsidRPr="009769D0" w:rsidP="009769D0" w14:paraId="05D1D3C5" w14:textId="322054A9">
      <w:pPr>
        <w:jc w:val="center"/>
        <w:rPr>
          <w:rFonts w:ascii="Verdana" w:hAnsi="Verdana"/>
        </w:rPr>
      </w:pPr>
      <w:r w:rsidRPr="009769D0">
        <w:rPr>
          <w:rFonts w:ascii="Verdana" w:hAnsi="Verdana"/>
        </w:rPr>
        <w:t>Alumínio, 10 de outubro de 2022.</w:t>
      </w:r>
    </w:p>
    <w:p w:rsidR="009769D0" w:rsidRPr="009769D0" w:rsidP="009769D0" w14:paraId="1D5CA9AB" w14:textId="06E5C989">
      <w:pPr>
        <w:jc w:val="center"/>
        <w:rPr>
          <w:rFonts w:ascii="Verdana" w:hAnsi="Verdana"/>
        </w:rPr>
      </w:pPr>
    </w:p>
    <w:p w:rsidR="009769D0" w:rsidRPr="009769D0" w:rsidP="009769D0" w14:paraId="38713A07" w14:textId="6ACBED4A">
      <w:pPr>
        <w:jc w:val="center"/>
        <w:rPr>
          <w:rFonts w:ascii="Verdana" w:hAnsi="Verdana"/>
        </w:rPr>
      </w:pPr>
    </w:p>
    <w:p w:rsidR="009769D0" w:rsidRPr="009769D0" w:rsidP="009769D0" w14:paraId="2C5B2C6A" w14:textId="6D1CA559">
      <w:pPr>
        <w:jc w:val="center"/>
        <w:rPr>
          <w:rFonts w:ascii="Verdana" w:hAnsi="Verdana"/>
        </w:rPr>
      </w:pPr>
      <w:r w:rsidRPr="009769D0">
        <w:rPr>
          <w:rFonts w:ascii="Verdana" w:hAnsi="Verdana"/>
        </w:rPr>
        <w:t>JOSÉ AUGUSTO PINTO DO AMARAL</w:t>
      </w:r>
    </w:p>
    <w:p w:rsidR="009769D0" w:rsidRPr="009769D0" w:rsidP="009769D0" w14:paraId="7F004223" w14:textId="31E7CABC">
      <w:pPr>
        <w:jc w:val="center"/>
        <w:rPr>
          <w:rFonts w:ascii="Verdana" w:hAnsi="Verdana"/>
        </w:rPr>
      </w:pPr>
      <w:r w:rsidRPr="009769D0">
        <w:rPr>
          <w:rFonts w:ascii="Verdana" w:hAnsi="Verdana"/>
        </w:rPr>
        <w:t>Diretor Jurídico</w:t>
      </w:r>
    </w:p>
    <w:p w:rsidR="009769D0" w:rsidP="009769D0" w14:paraId="367DAA04" w14:textId="5AA9EFE8">
      <w:pPr>
        <w:jc w:val="center"/>
      </w:pPr>
      <w:r w:rsidRPr="009769D0">
        <w:rPr>
          <w:rFonts w:ascii="Verdana" w:hAnsi="Verdana"/>
        </w:rPr>
        <w:t>OAB/SP 144.205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3A"/>
    <w:rsid w:val="0024483A"/>
    <w:rsid w:val="002830F6"/>
    <w:rsid w:val="005A546E"/>
    <w:rsid w:val="006434AC"/>
    <w:rsid w:val="008E0F13"/>
    <w:rsid w:val="009769D0"/>
    <w:rsid w:val="00A63F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B8EAAE-DA8D-4B0A-90AD-A35C8551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NoteDellJuridico</dc:creator>
  <cp:lastModifiedBy>NoteDellJuridico</cp:lastModifiedBy>
  <cp:revision>5</cp:revision>
  <cp:lastPrinted>2022-10-10T13:21:57Z</cp:lastPrinted>
  <dcterms:created xsi:type="dcterms:W3CDTF">2022-10-10T12:35:00Z</dcterms:created>
  <dcterms:modified xsi:type="dcterms:W3CDTF">2022-10-10T13:15:00Z</dcterms:modified>
</cp:coreProperties>
</file>