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A74C" w14:textId="15292D0C" w:rsidR="00E449A2" w:rsidRPr="00CD1C4D" w:rsidRDefault="00000000" w:rsidP="00E449A2">
      <w:pPr>
        <w:jc w:val="center"/>
        <w:rPr>
          <w:sz w:val="24"/>
          <w:szCs w:val="24"/>
        </w:rPr>
      </w:pPr>
      <w:r w:rsidRPr="00CD1C4D">
        <w:rPr>
          <w:sz w:val="24"/>
          <w:szCs w:val="24"/>
        </w:rPr>
        <w:t>Projeto de Lei Nº 3</w:t>
      </w:r>
      <w:r w:rsidR="00524237">
        <w:rPr>
          <w:sz w:val="24"/>
          <w:szCs w:val="24"/>
        </w:rPr>
        <w:t>5</w:t>
      </w:r>
      <w:r w:rsidRPr="00CD1C4D">
        <w:rPr>
          <w:sz w:val="24"/>
          <w:szCs w:val="24"/>
        </w:rPr>
        <w:t>/2023</w:t>
      </w:r>
    </w:p>
    <w:p w14:paraId="07AAFDCF" w14:textId="77777777" w:rsidR="00CD1C4D" w:rsidRDefault="00CD1C4D" w:rsidP="00CD1C4D">
      <w:pPr>
        <w:spacing w:after="160" w:line="259" w:lineRule="auto"/>
        <w:jc w:val="both"/>
        <w:rPr>
          <w:sz w:val="24"/>
          <w:szCs w:val="24"/>
        </w:rPr>
      </w:pPr>
    </w:p>
    <w:p w14:paraId="45D79097" w14:textId="77777777" w:rsidR="00A67D6C" w:rsidRPr="00CD1C4D" w:rsidRDefault="00A67D6C" w:rsidP="00CD1C4D">
      <w:pPr>
        <w:spacing w:after="160" w:line="259" w:lineRule="auto"/>
        <w:jc w:val="both"/>
        <w:rPr>
          <w:sz w:val="24"/>
          <w:szCs w:val="24"/>
        </w:rPr>
      </w:pPr>
    </w:p>
    <w:p w14:paraId="79D2D901" w14:textId="77777777" w:rsidR="00445436" w:rsidRPr="00445436" w:rsidRDefault="00445436" w:rsidP="00445436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14:paraId="28DBE7A3" w14:textId="77777777" w:rsidR="00445436" w:rsidRPr="00445436" w:rsidRDefault="00000000" w:rsidP="00A67D6C">
      <w:pPr>
        <w:ind w:left="2977"/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032827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Dispõe sobre a </w:t>
      </w:r>
      <w:r w:rsidR="00A90C6F">
        <w:rPr>
          <w:rFonts w:ascii="Arial" w:eastAsia="Batang" w:hAnsi="Arial" w:cs="Arial"/>
          <w:b/>
          <w:bCs/>
          <w:sz w:val="24"/>
          <w:szCs w:val="20"/>
          <w:lang w:eastAsia="pt-BR"/>
        </w:rPr>
        <w:t>realização</w:t>
      </w:r>
      <w:r w:rsidRPr="00032827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 de exame de acuidade visual para todos os alunos matriculados na 1ª série do ensino fundamental em todas as escolas públicas no Município, e dá outras providências</w:t>
      </w:r>
      <w:r w:rsidRPr="00445436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p w14:paraId="17521DD3" w14:textId="77777777" w:rsidR="00445436" w:rsidRPr="00445436" w:rsidRDefault="00445436" w:rsidP="00445436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14:paraId="444EF7AD" w14:textId="77777777" w:rsidR="00445436" w:rsidRPr="00445436" w:rsidRDefault="00000000" w:rsidP="00A67D6C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14:paraId="24808164" w14:textId="77777777" w:rsidR="00445436" w:rsidRPr="00445436" w:rsidRDefault="00445436" w:rsidP="00445436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14:paraId="70F08F20" w14:textId="77777777" w:rsidR="00032827" w:rsidRDefault="00000000" w:rsidP="0003282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032827">
        <w:rPr>
          <w:rFonts w:ascii="Arial" w:eastAsia="Batang" w:hAnsi="Arial" w:cs="Arial"/>
          <w:sz w:val="24"/>
          <w:szCs w:val="20"/>
          <w:lang w:eastAsia="pt-BR"/>
        </w:rPr>
        <w:t xml:space="preserve">Todos os estabelecimentos de ensino público que ofereçam ensino fundamental deverão proceder exame de acuidade visual a todos os alunos matriculados na 1ª série do ensino fundamental. </w:t>
      </w:r>
    </w:p>
    <w:p w14:paraId="57AFA87F" w14:textId="77777777" w:rsidR="00032827" w:rsidRPr="00032827" w:rsidRDefault="00032827" w:rsidP="0003282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14:paraId="08E0034E" w14:textId="77777777" w:rsidR="00032827" w:rsidRPr="00935AEE" w:rsidRDefault="00000000" w:rsidP="00032827">
      <w:pPr>
        <w:jc w:val="both"/>
        <w:rPr>
          <w:rFonts w:ascii="Times New Roman" w:hAnsi="Times New Roman"/>
          <w:sz w:val="24"/>
          <w:szCs w:val="24"/>
        </w:rPr>
      </w:pPr>
      <w:r w:rsidRPr="00032827">
        <w:rPr>
          <w:rFonts w:ascii="Arial" w:eastAsia="Batang" w:hAnsi="Arial" w:cs="Arial"/>
          <w:sz w:val="24"/>
          <w:szCs w:val="20"/>
          <w:lang w:eastAsia="pt-BR"/>
        </w:rPr>
        <w:t>Parágrafo único - Os exames deverão ser realizados no primeiro semestre do ano letivo, por profissional devidamente habilitado de acordo com as normas do Conselho Brasileiro de Oftalmologia.</w:t>
      </w:r>
      <w:r w:rsidRPr="00935AEE">
        <w:rPr>
          <w:rFonts w:ascii="Times New Roman" w:hAnsi="Times New Roman"/>
          <w:sz w:val="24"/>
          <w:szCs w:val="24"/>
        </w:rPr>
        <w:t xml:space="preserve"> </w:t>
      </w:r>
    </w:p>
    <w:p w14:paraId="14EB81C8" w14:textId="77777777" w:rsidR="00445436" w:rsidRPr="00445436" w:rsidRDefault="00445436" w:rsidP="0044543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14:paraId="29DEA335" w14:textId="77777777" w:rsidR="00445436" w:rsidRPr="00445436" w:rsidRDefault="00000000" w:rsidP="0044543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14:paraId="5D280204" w14:textId="77777777" w:rsidR="00445436" w:rsidRPr="00445436" w:rsidRDefault="00000000" w:rsidP="00A67D6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2º </w:t>
      </w:r>
      <w:r w:rsidR="00032827" w:rsidRPr="00032827">
        <w:rPr>
          <w:rFonts w:ascii="Arial" w:eastAsia="Batang" w:hAnsi="Arial" w:cs="Arial"/>
          <w:sz w:val="24"/>
          <w:szCs w:val="20"/>
          <w:lang w:eastAsia="pt-BR"/>
        </w:rPr>
        <w:t>As despesas decorrentes da execução desta lei correrão à conta das dotações orçamentária próprias, suplementadas se necessário.</w:t>
      </w:r>
    </w:p>
    <w:p w14:paraId="62E24485" w14:textId="77777777" w:rsidR="00445436" w:rsidRPr="00445436" w:rsidRDefault="00445436" w:rsidP="00445436">
      <w:pPr>
        <w:ind w:firstLine="2127"/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14:paraId="1D6B7FD4" w14:textId="77777777" w:rsidR="00445436" w:rsidRPr="00445436" w:rsidRDefault="00000000" w:rsidP="00A67D6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445436">
        <w:rPr>
          <w:rFonts w:ascii="Arial" w:eastAsia="Batang" w:hAnsi="Arial" w:cs="Arial"/>
          <w:b/>
          <w:sz w:val="24"/>
          <w:szCs w:val="20"/>
          <w:lang w:eastAsia="pt-BR"/>
        </w:rPr>
        <w:t xml:space="preserve">Art. 3º </w:t>
      </w:r>
      <w:r w:rsidR="00032827" w:rsidRPr="00032827">
        <w:rPr>
          <w:rFonts w:ascii="Arial" w:eastAsia="Batang" w:hAnsi="Arial" w:cs="Arial"/>
          <w:sz w:val="24"/>
          <w:szCs w:val="20"/>
          <w:lang w:eastAsia="pt-BR"/>
        </w:rPr>
        <w:t>Esta lei entra em vigor na data da sua publicação, revogadas as disposições em contrário</w:t>
      </w:r>
      <w:r w:rsidR="00032827" w:rsidRPr="00935AEE">
        <w:rPr>
          <w:rFonts w:ascii="Times New Roman" w:hAnsi="Times New Roman"/>
          <w:sz w:val="24"/>
          <w:szCs w:val="24"/>
        </w:rPr>
        <w:t>.</w:t>
      </w:r>
    </w:p>
    <w:p w14:paraId="4013B5DE" w14:textId="77777777" w:rsidR="00445436" w:rsidRPr="00445436" w:rsidRDefault="00445436" w:rsidP="0044543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14:paraId="4F34D4EC" w14:textId="77777777" w:rsidR="00445436" w:rsidRPr="00445436" w:rsidRDefault="00000000" w:rsidP="00445436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sz w:val="24"/>
          <w:szCs w:val="20"/>
          <w:lang w:eastAsia="pt-BR"/>
        </w:rPr>
        <w:t>Sala das Sessões, 18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>
        <w:rPr>
          <w:rFonts w:ascii="Arial" w:eastAsia="Batang" w:hAnsi="Arial" w:cs="Arial"/>
          <w:sz w:val="24"/>
          <w:szCs w:val="20"/>
          <w:lang w:eastAsia="pt-BR"/>
        </w:rPr>
        <w:t>outubro de 2023</w:t>
      </w:r>
      <w:r w:rsidRP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14:paraId="38D94251" w14:textId="77777777" w:rsidR="00D60913" w:rsidRPr="009B43E5" w:rsidRDefault="00D60913" w:rsidP="00D60913">
      <w:pPr>
        <w:ind w:firstLine="567"/>
        <w:jc w:val="both"/>
        <w:rPr>
          <w:rFonts w:ascii="Calibri" w:eastAsia="Calibri" w:hAnsi="Calibri" w:cs="Times New Roman"/>
          <w:sz w:val="24"/>
        </w:rPr>
      </w:pPr>
    </w:p>
    <w:p w14:paraId="01D1FC70" w14:textId="77777777" w:rsidR="00D60913" w:rsidRDefault="00D60913" w:rsidP="00D60913">
      <w:pPr>
        <w:spacing w:after="160" w:line="259" w:lineRule="auto"/>
        <w:jc w:val="both"/>
        <w:rPr>
          <w:b/>
          <w:bCs/>
          <w:sz w:val="24"/>
          <w:szCs w:val="24"/>
        </w:rPr>
      </w:pPr>
    </w:p>
    <w:p w14:paraId="6FCE1473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ADILSON BALDOINO </w:t>
      </w:r>
    </w:p>
    <w:p w14:paraId="4FF36FB9" w14:textId="77777777" w:rsidR="00D60913" w:rsidRDefault="00000000" w:rsidP="00CC626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911E4FF" w14:textId="77777777" w:rsidR="00290B36" w:rsidRDefault="00290B36" w:rsidP="00CC626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4E8AEDD7" w14:textId="77777777" w:rsidR="00290B36" w:rsidRDefault="00290B36" w:rsidP="00CC6267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42D33DD4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CHICO CAPOEIRA</w:t>
      </w:r>
    </w:p>
    <w:p w14:paraId="3CF7B6FF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6342B55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1A6F156D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3295BD42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14:paraId="358A4B78" w14:textId="77777777" w:rsidR="00A67D6C" w:rsidRP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57E00CE" w14:textId="77777777" w:rsidR="00A67D6C" w:rsidRPr="009B43E5" w:rsidRDefault="00000000" w:rsidP="00032827">
      <w:pPr>
        <w:keepNext/>
        <w:keepLines/>
        <w:spacing w:before="320" w:after="200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lastRenderedPageBreak/>
        <w:t>JUSTIFICATIVA</w:t>
      </w:r>
    </w:p>
    <w:p w14:paraId="1DF199E2" w14:textId="77777777" w:rsidR="00032827" w:rsidRPr="00032827" w:rsidRDefault="00000000" w:rsidP="0003282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O baixo rendimento escolar muitas vezes é associado pelos pais como um problema diretamente ligado ao intelecto do aluno, entretanto, o baixo desempenho escolar muitas vezes está associado a uma patologia de visão que poderá ser facilmente detectada e corrigida com um simples exame feito por um especialista. A ausência de detecção nos anos iniciais, que podem ser sanadas com simples uso de óculos, acarretam a esses alunos, dificuldade na alfabetização e no desenvolvimento escolar e levam muitas vezes a evasão escolar e ao desestimulo. </w:t>
      </w:r>
    </w:p>
    <w:p w14:paraId="58A92BAC" w14:textId="77777777" w:rsidR="00032827" w:rsidRPr="00032827" w:rsidRDefault="00000000" w:rsidP="00032827">
      <w:pPr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O Plano Nacional de Educação (PNE), por meio da Lei nº 13.005, de 25 de junho de 2014 (BRASIL, 2014) estabelece dentre as metas a serem atingidas, universalizar o ensino fundamental de 9 (nove) anos para toda a população de 6 (seis) a 14 (quatorze) anos e garantir que pelo menos 95% (noventa e cinco por cento) dos alunos concluam essa etapa na idade recomendada, dá ênfase ainda, na elevação da qualidade e no aumento de índices de desempenho, além da diminuição de desigualdades entre subgrupos de brasileiros. Busca fomentar a qualidade da educação básica em todas as etapas e modalidades, com melhoria do fluxo escolar e da aprendizagem de modo a atingir as médias nacionais para o Ideb: 6,0 nos anos iniciais do ensino fundamental; 5,5 nos anos finais do ensino fundamental. Para alcançar tais objetivos, além de orientar as ações com relação ao processo educativo e ao percurso escolar, é importante adotar medidas que auxiliem e coadunem com tais metas. </w:t>
      </w:r>
    </w:p>
    <w:p w14:paraId="6CFD44A4" w14:textId="77777777" w:rsidR="00032827" w:rsidRPr="00032827" w:rsidRDefault="00000000" w:rsidP="00032827">
      <w:pPr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Assim, a finalidade desta propositura busca adotar políticas públicas como medida complementar para constituir o cidadão escolarizado, bem como atender as diretrizes que regulam e que pretendem conduzir os indivíduos de menos a mais educados em seus percursos escolares.</w:t>
      </w:r>
    </w:p>
    <w:p w14:paraId="4B3F3BA4" w14:textId="77777777" w:rsidR="00032827" w:rsidRDefault="00000000" w:rsidP="000328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827">
        <w:rPr>
          <w:rFonts w:ascii="Arial" w:hAnsi="Arial" w:cs="Arial"/>
          <w:sz w:val="24"/>
          <w:szCs w:val="24"/>
        </w:rPr>
        <w:t xml:space="preserve">     Por todo o exposto, espera o autor a tramitação regimental e apoio dos nobres colegas na aprovação do Projeto de Lei, que atende aos pressupostos de constitucionalidade, juridicidade e técnica legislativa.</w:t>
      </w:r>
    </w:p>
    <w:p w14:paraId="53DFEA5A" w14:textId="77777777" w:rsidR="00445436" w:rsidRDefault="00000000" w:rsidP="00A67D6C">
      <w:pPr>
        <w:spacing w:line="360" w:lineRule="auto"/>
        <w:jc w:val="both"/>
        <w:rPr>
          <w:rFonts w:ascii="Arial" w:eastAsia="Batang" w:hAnsi="Arial" w:cs="Arial"/>
          <w:iCs/>
          <w:sz w:val="24"/>
          <w:szCs w:val="24"/>
        </w:rPr>
      </w:pPr>
      <w:r>
        <w:rPr>
          <w:rFonts w:ascii="Arial" w:eastAsia="Batang" w:hAnsi="Arial" w:cs="Arial"/>
          <w:iCs/>
          <w:sz w:val="24"/>
          <w:szCs w:val="24"/>
        </w:rPr>
        <w:t xml:space="preserve"> </w:t>
      </w:r>
    </w:p>
    <w:p w14:paraId="502E6E7D" w14:textId="77777777" w:rsidR="00290B36" w:rsidRPr="0007741A" w:rsidRDefault="00290B36" w:rsidP="00A67D6C">
      <w:pPr>
        <w:spacing w:line="360" w:lineRule="auto"/>
        <w:jc w:val="both"/>
        <w:rPr>
          <w:rFonts w:ascii="Arial" w:eastAsia="Batang" w:hAnsi="Arial" w:cs="Arial"/>
          <w:iCs/>
          <w:sz w:val="24"/>
          <w:szCs w:val="24"/>
        </w:rPr>
      </w:pPr>
    </w:p>
    <w:p w14:paraId="20518B8D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ADILSON BALDOINO </w:t>
      </w:r>
    </w:p>
    <w:p w14:paraId="73636767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782C9B0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7F8034BC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7473FB4B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CHICO CAPOEIRA</w:t>
      </w:r>
    </w:p>
    <w:p w14:paraId="207C54C6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CCCF264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3D7BC497" w14:textId="77777777" w:rsidR="00290B36" w:rsidRDefault="00290B36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14:paraId="50319BA9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JEAN DA ELITE</w:t>
      </w:r>
    </w:p>
    <w:p w14:paraId="1A2D9530" w14:textId="77777777" w:rsidR="00290B36" w:rsidRDefault="00000000" w:rsidP="00290B36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1C11067" w14:textId="77777777" w:rsidR="004D16F7" w:rsidRPr="007D5BAD" w:rsidRDefault="004D16F7" w:rsidP="00463D81">
      <w:pPr>
        <w:spacing w:line="259" w:lineRule="auto"/>
        <w:rPr>
          <w:b/>
          <w:bCs/>
          <w:sz w:val="24"/>
          <w:szCs w:val="24"/>
        </w:rPr>
      </w:pPr>
    </w:p>
    <w:sectPr w:rsidR="004D16F7" w:rsidRPr="007D5BAD" w:rsidSect="00A67D6C">
      <w:headerReference w:type="default" r:id="rId7"/>
      <w:footerReference w:type="default" r:id="rId8"/>
      <w:pgSz w:w="11906" w:h="16838" w:code="9"/>
      <w:pgMar w:top="1440" w:right="1080" w:bottom="1440" w:left="1080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2328" w14:textId="77777777" w:rsidR="00552F41" w:rsidRDefault="00552F41">
      <w:r>
        <w:separator/>
      </w:r>
    </w:p>
  </w:endnote>
  <w:endnote w:type="continuationSeparator" w:id="0">
    <w:p w14:paraId="269CA50D" w14:textId="77777777" w:rsidR="00552F41" w:rsidRDefault="0055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DC13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0177BAC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2E579" w14:textId="77777777" w:rsidR="00552F41" w:rsidRDefault="00552F41">
      <w:r>
        <w:separator/>
      </w:r>
    </w:p>
  </w:footnote>
  <w:footnote w:type="continuationSeparator" w:id="0">
    <w:p w14:paraId="699D0262" w14:textId="77777777" w:rsidR="00552F41" w:rsidRDefault="0055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FA90" w14:textId="77777777" w:rsidR="00591627" w:rsidRDefault="00000000" w:rsidP="00427BD4">
    <w:pPr>
      <w:pStyle w:val="Cabealho"/>
      <w:tabs>
        <w:tab w:val="clear" w:pos="4252"/>
        <w:tab w:val="clear" w:pos="8504"/>
        <w:tab w:val="left" w:pos="2685"/>
      </w:tabs>
    </w:pPr>
    <w:r>
      <w:rPr>
        <w:noProof/>
        <w:lang w:eastAsia="pt-BR"/>
      </w:rPr>
      <w:drawing>
        <wp:inline distT="0" distB="0" distL="0" distR="0" wp14:anchorId="31C4E629" wp14:editId="69BE74E7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 wp14:anchorId="4A97C318" wp14:editId="3B244F41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1283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14:paraId="6673629E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F1325"/>
    <w:multiLevelType w:val="hybridMultilevel"/>
    <w:tmpl w:val="89249DE6"/>
    <w:lvl w:ilvl="0" w:tplc="5C049264">
      <w:start w:val="1"/>
      <w:numFmt w:val="decimal"/>
      <w:lvlText w:val="%1."/>
      <w:lvlJc w:val="left"/>
      <w:pPr>
        <w:ind w:left="720" w:hanging="360"/>
      </w:pPr>
    </w:lvl>
    <w:lvl w:ilvl="1" w:tplc="8F88D1E2">
      <w:start w:val="1"/>
      <w:numFmt w:val="lowerLetter"/>
      <w:lvlText w:val="%2."/>
      <w:lvlJc w:val="left"/>
      <w:pPr>
        <w:ind w:left="1440" w:hanging="360"/>
      </w:pPr>
    </w:lvl>
    <w:lvl w:ilvl="2" w:tplc="6862F862">
      <w:start w:val="1"/>
      <w:numFmt w:val="lowerRoman"/>
      <w:lvlText w:val="%3."/>
      <w:lvlJc w:val="right"/>
      <w:pPr>
        <w:ind w:left="2160" w:hanging="180"/>
      </w:pPr>
    </w:lvl>
    <w:lvl w:ilvl="3" w:tplc="5ABC560C">
      <w:start w:val="1"/>
      <w:numFmt w:val="decimal"/>
      <w:lvlText w:val="%4."/>
      <w:lvlJc w:val="left"/>
      <w:pPr>
        <w:ind w:left="2880" w:hanging="360"/>
      </w:pPr>
    </w:lvl>
    <w:lvl w:ilvl="4" w:tplc="9F2246BA">
      <w:start w:val="1"/>
      <w:numFmt w:val="lowerLetter"/>
      <w:lvlText w:val="%5."/>
      <w:lvlJc w:val="left"/>
      <w:pPr>
        <w:ind w:left="3600" w:hanging="360"/>
      </w:pPr>
    </w:lvl>
    <w:lvl w:ilvl="5" w:tplc="DE0C1CE4">
      <w:start w:val="1"/>
      <w:numFmt w:val="lowerRoman"/>
      <w:lvlText w:val="%6."/>
      <w:lvlJc w:val="right"/>
      <w:pPr>
        <w:ind w:left="4320" w:hanging="180"/>
      </w:pPr>
    </w:lvl>
    <w:lvl w:ilvl="6" w:tplc="CAACA8B0">
      <w:start w:val="1"/>
      <w:numFmt w:val="decimal"/>
      <w:lvlText w:val="%7."/>
      <w:lvlJc w:val="left"/>
      <w:pPr>
        <w:ind w:left="5040" w:hanging="360"/>
      </w:pPr>
    </w:lvl>
    <w:lvl w:ilvl="7" w:tplc="F6A0223E">
      <w:start w:val="1"/>
      <w:numFmt w:val="lowerLetter"/>
      <w:lvlText w:val="%8."/>
      <w:lvlJc w:val="left"/>
      <w:pPr>
        <w:ind w:left="5760" w:hanging="360"/>
      </w:pPr>
    </w:lvl>
    <w:lvl w:ilvl="8" w:tplc="12082F36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67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7741A"/>
    <w:rsid w:val="0008519F"/>
    <w:rsid w:val="000A450A"/>
    <w:rsid w:val="000A604C"/>
    <w:rsid w:val="00117C2C"/>
    <w:rsid w:val="001244E5"/>
    <w:rsid w:val="00146690"/>
    <w:rsid w:val="00155AF6"/>
    <w:rsid w:val="00171C22"/>
    <w:rsid w:val="00175DB2"/>
    <w:rsid w:val="00184087"/>
    <w:rsid w:val="001845FD"/>
    <w:rsid w:val="00194193"/>
    <w:rsid w:val="00196566"/>
    <w:rsid w:val="001A7C4B"/>
    <w:rsid w:val="001F7E0D"/>
    <w:rsid w:val="00225F1C"/>
    <w:rsid w:val="00237853"/>
    <w:rsid w:val="00240390"/>
    <w:rsid w:val="00270C58"/>
    <w:rsid w:val="00290B36"/>
    <w:rsid w:val="002A24FE"/>
    <w:rsid w:val="002B41AC"/>
    <w:rsid w:val="003073A5"/>
    <w:rsid w:val="00347F54"/>
    <w:rsid w:val="003941C4"/>
    <w:rsid w:val="003C6DBA"/>
    <w:rsid w:val="003D2166"/>
    <w:rsid w:val="00427022"/>
    <w:rsid w:val="00427BD4"/>
    <w:rsid w:val="00445436"/>
    <w:rsid w:val="00457B17"/>
    <w:rsid w:val="00463D81"/>
    <w:rsid w:val="0047115B"/>
    <w:rsid w:val="004776C5"/>
    <w:rsid w:val="004977C1"/>
    <w:rsid w:val="004C3076"/>
    <w:rsid w:val="004D16F7"/>
    <w:rsid w:val="004D54B4"/>
    <w:rsid w:val="00503044"/>
    <w:rsid w:val="005118B3"/>
    <w:rsid w:val="00524237"/>
    <w:rsid w:val="00550215"/>
    <w:rsid w:val="00552F41"/>
    <w:rsid w:val="0056115F"/>
    <w:rsid w:val="00574B0F"/>
    <w:rsid w:val="00591627"/>
    <w:rsid w:val="005A1FD6"/>
    <w:rsid w:val="005B351E"/>
    <w:rsid w:val="005C279B"/>
    <w:rsid w:val="005E566A"/>
    <w:rsid w:val="005F4E17"/>
    <w:rsid w:val="005F7ED5"/>
    <w:rsid w:val="00604C97"/>
    <w:rsid w:val="00615A83"/>
    <w:rsid w:val="0062484B"/>
    <w:rsid w:val="00641F7E"/>
    <w:rsid w:val="006A4B07"/>
    <w:rsid w:val="006C271F"/>
    <w:rsid w:val="006E473F"/>
    <w:rsid w:val="007044B0"/>
    <w:rsid w:val="007053F7"/>
    <w:rsid w:val="0076314A"/>
    <w:rsid w:val="007760BA"/>
    <w:rsid w:val="007C3F9E"/>
    <w:rsid w:val="007D0A2E"/>
    <w:rsid w:val="007D5BAD"/>
    <w:rsid w:val="007E71D3"/>
    <w:rsid w:val="008021C3"/>
    <w:rsid w:val="00810C2E"/>
    <w:rsid w:val="0085427F"/>
    <w:rsid w:val="008777C6"/>
    <w:rsid w:val="0089608E"/>
    <w:rsid w:val="008E5C9F"/>
    <w:rsid w:val="008F1E4C"/>
    <w:rsid w:val="00932606"/>
    <w:rsid w:val="00935AEE"/>
    <w:rsid w:val="00964629"/>
    <w:rsid w:val="009B1C06"/>
    <w:rsid w:val="009B3DD1"/>
    <w:rsid w:val="009B43E5"/>
    <w:rsid w:val="00A2157A"/>
    <w:rsid w:val="00A67D6C"/>
    <w:rsid w:val="00A70AD3"/>
    <w:rsid w:val="00A81790"/>
    <w:rsid w:val="00A90C6F"/>
    <w:rsid w:val="00AC3B95"/>
    <w:rsid w:val="00AF2265"/>
    <w:rsid w:val="00B370B2"/>
    <w:rsid w:val="00B41C01"/>
    <w:rsid w:val="00B93331"/>
    <w:rsid w:val="00BD6492"/>
    <w:rsid w:val="00BE7D9E"/>
    <w:rsid w:val="00C75515"/>
    <w:rsid w:val="00C87223"/>
    <w:rsid w:val="00CA4950"/>
    <w:rsid w:val="00CC6267"/>
    <w:rsid w:val="00CD1C4D"/>
    <w:rsid w:val="00CF73E3"/>
    <w:rsid w:val="00D0580E"/>
    <w:rsid w:val="00D164E4"/>
    <w:rsid w:val="00D20D86"/>
    <w:rsid w:val="00D216C8"/>
    <w:rsid w:val="00D35FE5"/>
    <w:rsid w:val="00D43358"/>
    <w:rsid w:val="00D60913"/>
    <w:rsid w:val="00DB276D"/>
    <w:rsid w:val="00DC7E65"/>
    <w:rsid w:val="00DE0C27"/>
    <w:rsid w:val="00E102ED"/>
    <w:rsid w:val="00E449A2"/>
    <w:rsid w:val="00EC6F69"/>
    <w:rsid w:val="00ED72A8"/>
    <w:rsid w:val="00ED74BF"/>
    <w:rsid w:val="00EE77FA"/>
    <w:rsid w:val="00F13CBE"/>
    <w:rsid w:val="00F279D6"/>
    <w:rsid w:val="00F8617D"/>
    <w:rsid w:val="00FB07C4"/>
    <w:rsid w:val="00FD2139"/>
    <w:rsid w:val="00FD66A4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50D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2</cp:revision>
  <cp:lastPrinted>2023-10-20T17:47:00Z</cp:lastPrinted>
  <dcterms:created xsi:type="dcterms:W3CDTF">2023-10-23T12:23:00Z</dcterms:created>
  <dcterms:modified xsi:type="dcterms:W3CDTF">2023-10-23T12:23:00Z</dcterms:modified>
</cp:coreProperties>
</file>