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26A7E" w:rsidP="00932CC8">
      <w:pPr>
        <w:jc w:val="both"/>
      </w:pPr>
      <w:r>
        <w:t>Parecer Nº 75/2024 ao Projeto de Lei Nº 29/2024</w:t>
      </w:r>
    </w:p>
    <w:p w:rsidR="00932CC8" w:rsidP="00932CC8">
      <w:pPr>
        <w:jc w:val="both"/>
      </w:pPr>
    </w:p>
    <w:p w:rsidR="00932CC8" w:rsidP="00932CC8">
      <w:pPr>
        <w:jc w:val="both"/>
      </w:pPr>
    </w:p>
    <w:p w:rsidR="00932CC8" w:rsidRPr="00AD44A1" w:rsidP="00932CC8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>Senhor Presidente,</w:t>
      </w:r>
    </w:p>
    <w:p w:rsidR="00932CC8" w:rsidRPr="00AD44A1" w:rsidP="00932CC8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>Senhores Vereadores,</w:t>
      </w:r>
    </w:p>
    <w:p w:rsidR="00932CC8" w:rsidRPr="00AD44A1" w:rsidP="00932CC8">
      <w:pPr>
        <w:jc w:val="both"/>
        <w:rPr>
          <w:rFonts w:ascii="Verdana" w:hAnsi="Verdana"/>
        </w:rPr>
      </w:pPr>
    </w:p>
    <w:p w:rsidR="00932CC8" w:rsidRPr="00AD44A1" w:rsidP="00932CC8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  <w:t>Trata o presente parecer de análise do veto aposto pelo Senhor Prefeito Municipal ao Autógrafo nº 2.</w:t>
      </w:r>
      <w:r w:rsidR="00BD324B">
        <w:rPr>
          <w:rFonts w:ascii="Verdana" w:hAnsi="Verdana"/>
        </w:rPr>
        <w:t>366</w:t>
      </w:r>
      <w:r w:rsidRPr="00AD44A1">
        <w:rPr>
          <w:rFonts w:ascii="Verdana" w:hAnsi="Verdana"/>
        </w:rPr>
        <w:t xml:space="preserve">, de </w:t>
      </w:r>
      <w:r w:rsidR="00BD324B">
        <w:rPr>
          <w:rFonts w:ascii="Verdana" w:hAnsi="Verdana"/>
        </w:rPr>
        <w:t>27</w:t>
      </w:r>
      <w:r w:rsidRPr="00AD44A1">
        <w:rPr>
          <w:rFonts w:ascii="Verdana" w:hAnsi="Verdana"/>
        </w:rPr>
        <w:t xml:space="preserve"> de agosto de 202</w:t>
      </w:r>
      <w:r w:rsidR="00BD324B">
        <w:rPr>
          <w:rFonts w:ascii="Verdana" w:hAnsi="Verdana"/>
        </w:rPr>
        <w:t>4</w:t>
      </w:r>
      <w:r w:rsidRPr="00AD44A1">
        <w:rPr>
          <w:rFonts w:ascii="Verdana" w:hAnsi="Verdana"/>
        </w:rPr>
        <w:t>, por intermédio do Ofício nº 1</w:t>
      </w:r>
      <w:r w:rsidR="00BD324B">
        <w:rPr>
          <w:rFonts w:ascii="Verdana" w:hAnsi="Verdana"/>
        </w:rPr>
        <w:t>69</w:t>
      </w:r>
      <w:r w:rsidRPr="00AD44A1">
        <w:rPr>
          <w:rFonts w:ascii="Verdana" w:hAnsi="Verdana"/>
        </w:rPr>
        <w:t>/202</w:t>
      </w:r>
      <w:r w:rsidR="00BD324B">
        <w:rPr>
          <w:rFonts w:ascii="Verdana" w:hAnsi="Verdana"/>
        </w:rPr>
        <w:t>4</w:t>
      </w:r>
      <w:r w:rsidRPr="00AD44A1">
        <w:rPr>
          <w:rFonts w:ascii="Verdana" w:hAnsi="Verdana"/>
        </w:rPr>
        <w:t>. Trata-se do Veto Total nº 0</w:t>
      </w:r>
      <w:r w:rsidR="00BD324B">
        <w:rPr>
          <w:rFonts w:ascii="Verdana" w:hAnsi="Verdana"/>
        </w:rPr>
        <w:t>4</w:t>
      </w:r>
      <w:r w:rsidRPr="00AD44A1">
        <w:rPr>
          <w:rFonts w:ascii="Verdana" w:hAnsi="Verdana"/>
        </w:rPr>
        <w:t>/202</w:t>
      </w:r>
      <w:r w:rsidR="00BD324B">
        <w:rPr>
          <w:rFonts w:ascii="Verdana" w:hAnsi="Verdana"/>
        </w:rPr>
        <w:t>4</w:t>
      </w:r>
      <w:r w:rsidRPr="00AD44A1">
        <w:rPr>
          <w:rFonts w:ascii="Verdana" w:hAnsi="Verdana"/>
        </w:rPr>
        <w:t>.</w:t>
      </w:r>
    </w:p>
    <w:p w:rsidR="00512059" w:rsidRPr="00AD44A1" w:rsidP="00932CC8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  <w:t>O veto é uma faculdade do Poder Executivo,</w:t>
      </w:r>
      <w:r w:rsidRPr="00AD44A1">
        <w:rPr>
          <w:rFonts w:ascii="Verdana" w:hAnsi="Verdana"/>
        </w:rPr>
        <w:t xml:space="preserve"> conforme dispõe a Lei Orgânica Municipal ao prever:</w:t>
      </w:r>
    </w:p>
    <w:p w:rsidR="00932CC8" w:rsidRPr="00AD44A1" w:rsidP="00932CC8">
      <w:pPr>
        <w:jc w:val="both"/>
        <w:rPr>
          <w:rFonts w:ascii="Verdana" w:hAnsi="Verdana"/>
        </w:rPr>
      </w:pPr>
    </w:p>
    <w:p w:rsidR="00512059" w:rsidRPr="00AD44A1" w:rsidP="00512059">
      <w:pPr>
        <w:pStyle w:val="Default"/>
        <w:rPr>
          <w:rFonts w:ascii="Verdana" w:hAnsi="Verdana"/>
          <w:b/>
          <w:bCs/>
          <w:sz w:val="22"/>
          <w:szCs w:val="22"/>
        </w:rPr>
      </w:pPr>
      <w:r w:rsidRPr="00AD44A1">
        <w:rPr>
          <w:rFonts w:ascii="Verdana" w:hAnsi="Verdana"/>
          <w:b/>
          <w:bCs/>
          <w:sz w:val="22"/>
          <w:szCs w:val="22"/>
        </w:rPr>
        <w:t>“Art. 43 -</w:t>
      </w:r>
      <w:r w:rsidRPr="00AD44A1">
        <w:rPr>
          <w:rFonts w:ascii="Verdana" w:hAnsi="Verdana"/>
          <w:b/>
          <w:bCs/>
          <w:sz w:val="22"/>
          <w:szCs w:val="22"/>
        </w:rPr>
        <w:t xml:space="preserve">  ...</w:t>
      </w:r>
      <w:r w:rsidRPr="00AD44A1">
        <w:rPr>
          <w:rFonts w:ascii="Verdana" w:hAnsi="Verdana"/>
          <w:b/>
          <w:bCs/>
          <w:sz w:val="22"/>
          <w:szCs w:val="22"/>
        </w:rPr>
        <w:t>...............................</w:t>
      </w:r>
    </w:p>
    <w:p w:rsidR="00512059" w:rsidRPr="00AD44A1" w:rsidP="00512059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512059" w:rsidRPr="00AD44A1" w:rsidP="00512059">
      <w:pPr>
        <w:pStyle w:val="Default"/>
        <w:rPr>
          <w:rFonts w:ascii="Verdana" w:hAnsi="Verdana"/>
          <w:b/>
          <w:bCs/>
          <w:sz w:val="22"/>
          <w:szCs w:val="22"/>
        </w:rPr>
      </w:pPr>
      <w:r w:rsidRPr="00AD44A1">
        <w:rPr>
          <w:rFonts w:ascii="Verdana" w:hAnsi="Verdana"/>
          <w:b/>
          <w:bCs/>
          <w:sz w:val="22"/>
          <w:szCs w:val="22"/>
        </w:rPr>
        <w:t>......................................</w:t>
      </w:r>
    </w:p>
    <w:p w:rsidR="00512059" w:rsidRPr="00AD44A1" w:rsidP="00512059">
      <w:pPr>
        <w:pStyle w:val="Default"/>
        <w:rPr>
          <w:rFonts w:ascii="Verdana" w:hAnsi="Verdana"/>
          <w:sz w:val="22"/>
          <w:szCs w:val="22"/>
        </w:rPr>
      </w:pPr>
    </w:p>
    <w:p w:rsidR="00512059" w:rsidRPr="00AD44A1" w:rsidP="00512059">
      <w:pPr>
        <w:jc w:val="both"/>
        <w:rPr>
          <w:rFonts w:ascii="Verdana" w:hAnsi="Verdana"/>
        </w:rPr>
      </w:pPr>
      <w:r w:rsidRPr="00AD44A1">
        <w:rPr>
          <w:rFonts w:ascii="Verdana" w:hAnsi="Verdana"/>
          <w:b/>
          <w:bCs/>
        </w:rPr>
        <w:t xml:space="preserve">§ 1º - </w:t>
      </w:r>
      <w:r w:rsidRPr="00AD44A1">
        <w:rPr>
          <w:rFonts w:ascii="Verdana" w:hAnsi="Verdana"/>
        </w:rPr>
        <w:t xml:space="preserve">Se o Prefeito julgar o projeto, no todo ou em parte, inconstitucional, ilegal ou contrário ao interesse público, </w:t>
      </w:r>
      <w:r w:rsidRPr="00AD44A1">
        <w:rPr>
          <w:rFonts w:ascii="Verdana" w:hAnsi="Verdana"/>
        </w:rPr>
        <w:t>veta-lo-á</w:t>
      </w:r>
      <w:r w:rsidRPr="00AD44A1">
        <w:rPr>
          <w:rFonts w:ascii="Verdana" w:hAnsi="Verdana"/>
        </w:rPr>
        <w:t>, total ou parcialmente dentro de quinze (15) dias úteis, contados daquele em que receber e comunicará dentro de quarenta e oito (48) horas, ao Presidente da Câmara os motivos do veto.</w:t>
      </w:r>
    </w:p>
    <w:p w:rsidR="00512059" w:rsidRPr="00AD44A1" w:rsidP="00512059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>..................................”.</w:t>
      </w:r>
    </w:p>
    <w:p w:rsidR="002E7CE8" w:rsidP="00512059">
      <w:pPr>
        <w:jc w:val="both"/>
        <w:rPr>
          <w:rFonts w:ascii="Verdana" w:hAnsi="Verdana"/>
        </w:rPr>
      </w:pPr>
    </w:p>
    <w:p w:rsidR="00B32EE2" w:rsidP="00B32EE2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  <w:t>Assim, pela leitura do Veto Total nº 0</w:t>
      </w:r>
      <w:r>
        <w:rPr>
          <w:rFonts w:ascii="Verdana" w:hAnsi="Verdana"/>
        </w:rPr>
        <w:t>4</w:t>
      </w:r>
      <w:r w:rsidRPr="00AD44A1">
        <w:rPr>
          <w:rFonts w:ascii="Verdana" w:hAnsi="Verdana"/>
        </w:rPr>
        <w:t>/202</w:t>
      </w:r>
      <w:r>
        <w:rPr>
          <w:rFonts w:ascii="Verdana" w:hAnsi="Verdana"/>
        </w:rPr>
        <w:t>4</w:t>
      </w:r>
      <w:r w:rsidRPr="00AD44A1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pensamos que o Senhor Prefeito Municipal apôs o veto entendendo existir </w:t>
      </w:r>
      <w:r w:rsidRPr="00AD44A1">
        <w:rPr>
          <w:rFonts w:ascii="Verdana" w:hAnsi="Verdana"/>
        </w:rPr>
        <w:t>ilegalidade</w:t>
      </w:r>
      <w:r>
        <w:rPr>
          <w:rFonts w:ascii="Verdana" w:hAnsi="Verdana"/>
        </w:rPr>
        <w:t>, na medida em que aponta ser competência exclusiva sua, por ato administrativo, a denominação de próprios e logradouros públicos municipais.</w:t>
      </w:r>
    </w:p>
    <w:p w:rsidR="00B32EE2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A Câmara Municipal de Alumínio, em projeto de lei de iniciativa do Vereador Prof. </w:t>
      </w:r>
      <w:r>
        <w:rPr>
          <w:rFonts w:ascii="Verdana" w:hAnsi="Verdana"/>
        </w:rPr>
        <w:t>Jediel</w:t>
      </w:r>
      <w:r>
        <w:rPr>
          <w:rFonts w:ascii="Verdana" w:hAnsi="Verdana"/>
        </w:rPr>
        <w:t xml:space="preserve"> de Carvalho, nº 29/2024-L, </w:t>
      </w:r>
      <w:r w:rsidR="00755F21">
        <w:rPr>
          <w:rFonts w:ascii="Verdana" w:hAnsi="Verdana"/>
        </w:rPr>
        <w:t xml:space="preserve">deliberado na sessão do dia 26 de agosto de 2024, </w:t>
      </w:r>
      <w:r>
        <w:rPr>
          <w:rFonts w:ascii="Verdana" w:hAnsi="Verdana"/>
        </w:rPr>
        <w:t xml:space="preserve">resolveu denominar </w:t>
      </w:r>
      <w:r w:rsidR="00755F21">
        <w:rPr>
          <w:rFonts w:ascii="Verdana" w:hAnsi="Verdana"/>
        </w:rPr>
        <w:t xml:space="preserve">próprio municipal (Campo de Futebol do Areia Branca) com o nome de José </w:t>
      </w:r>
      <w:r w:rsidR="00755F21">
        <w:rPr>
          <w:rFonts w:ascii="Verdana" w:hAnsi="Verdana"/>
        </w:rPr>
        <w:t>Merencio</w:t>
      </w:r>
      <w:r w:rsidR="00755F21">
        <w:rPr>
          <w:rFonts w:ascii="Verdana" w:hAnsi="Verdana"/>
        </w:rPr>
        <w:t xml:space="preserve"> – </w:t>
      </w:r>
      <w:r w:rsidR="00755F21">
        <w:rPr>
          <w:rFonts w:ascii="Verdana" w:hAnsi="Verdana"/>
        </w:rPr>
        <w:t>Zizão</w:t>
      </w:r>
      <w:r w:rsidR="00755F21">
        <w:rPr>
          <w:rFonts w:ascii="Verdana" w:hAnsi="Verdana"/>
        </w:rPr>
        <w:t>.</w:t>
      </w:r>
    </w:p>
    <w:p w:rsidR="00755F21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Porém, por meio do Decreto nº 2.361, de 12 de agosto de 2024, o Senhor Prefeito Municipal resolveu denominar o mesmo campo de futebol com o nome de Luiz Carlos Correa “Carlinhos”.</w:t>
      </w:r>
    </w:p>
    <w:p w:rsidR="00755F21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Qual das denominações deve prevalecer então?</w:t>
      </w:r>
    </w:p>
    <w:p w:rsidR="00755F21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Primeiramente, é importante ressaltar que a análise do veto, do ponto de vista jurídico, que é a função da presente manifestação, está levando em conta que o Prefeito Municipal está apontando o ato da Câmara </w:t>
      </w:r>
      <w:r>
        <w:rPr>
          <w:rFonts w:ascii="Verdana" w:hAnsi="Verdana"/>
        </w:rPr>
        <w:t>Municipal como ilegal. Não manifestou expressamente nem inconstitucionalidade, nem contrariedade ao interesse público.</w:t>
      </w:r>
    </w:p>
    <w:p w:rsidR="00755F21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E a ilegalidade, segundo pensamos, está na seguinte afirmação do texto do veto ora analisado, </w:t>
      </w:r>
      <w:r>
        <w:rPr>
          <w:rFonts w:ascii="Verdana" w:hAnsi="Verdana"/>
          <w:i/>
        </w:rPr>
        <w:t>verbis</w:t>
      </w:r>
      <w:r>
        <w:rPr>
          <w:rFonts w:ascii="Verdana" w:hAnsi="Verdana"/>
        </w:rPr>
        <w:t>:</w:t>
      </w:r>
    </w:p>
    <w:p w:rsidR="00755F21" w:rsidP="00B32EE2">
      <w:pPr>
        <w:jc w:val="both"/>
        <w:rPr>
          <w:rFonts w:ascii="Verdana" w:hAnsi="Verdana"/>
        </w:rPr>
      </w:pPr>
    </w:p>
    <w:p w:rsidR="00755F21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“Em regra, a competência para dar nome </w:t>
      </w:r>
      <w:r>
        <w:rPr>
          <w:rFonts w:ascii="Verdana" w:hAnsi="Verdana"/>
        </w:rPr>
        <w:t>à</w:t>
      </w:r>
      <w:r>
        <w:rPr>
          <w:rFonts w:ascii="Verdana" w:hAnsi="Verdana"/>
        </w:rPr>
        <w:t xml:space="preserve"> próprios (</w:t>
      </w:r>
      <w:r>
        <w:rPr>
          <w:rFonts w:ascii="Verdana" w:hAnsi="Verdana"/>
          <w:i/>
        </w:rPr>
        <w:t xml:space="preserve">sic), </w:t>
      </w:r>
      <w:r>
        <w:rPr>
          <w:rFonts w:ascii="Verdana" w:hAnsi="Verdana"/>
        </w:rPr>
        <w:t>vias e logradouros, prédios públicos é do Prefeito, por meio de decreto. A Lei Orgânica poderá prever essa competência também para a Câmara Municipal, por meio de lei, desde que não exclua a do Prefeito.”</w:t>
      </w:r>
    </w:p>
    <w:p w:rsidR="00755F21" w:rsidP="00B32EE2">
      <w:pPr>
        <w:jc w:val="both"/>
        <w:rPr>
          <w:rFonts w:ascii="Verdana" w:hAnsi="Verdana"/>
        </w:rPr>
      </w:pPr>
    </w:p>
    <w:p w:rsidR="00755F21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Com profundo respeito às opiniões divergentes, não concordamos com a afirmação contida no texto do veto.</w:t>
      </w:r>
    </w:p>
    <w:p w:rsidR="00755F21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8218A">
        <w:rPr>
          <w:rFonts w:ascii="Verdana" w:hAnsi="Verdana"/>
        </w:rPr>
        <w:t xml:space="preserve">Note-se que o texto afirma ser a competência do Prefeito. Porém, logo após, no mesmo parágrafo, afirma que a Lei Orgânica poderá prever. Assim, é competência do Prefeito ou não? E mais, se a Lei Orgânica poderá </w:t>
      </w:r>
      <w:r w:rsidR="00C8218A">
        <w:rPr>
          <w:rFonts w:ascii="Verdana" w:hAnsi="Verdana"/>
        </w:rPr>
        <w:t>prever,</w:t>
      </w:r>
      <w:r w:rsidR="00C8218A">
        <w:rPr>
          <w:rFonts w:ascii="Verdana" w:hAnsi="Verdana"/>
        </w:rPr>
        <w:t xml:space="preserve"> então a conclusão lógica, é que não prevê. Até porque, se houvesse a previsão, certamente o texto do veto traria o competente artigo da Lei Orgânica Municipal.</w:t>
      </w:r>
    </w:p>
    <w:p w:rsidR="00C8218A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O Decreto, ato de competência exclusiva do Chefe do Poder Executivo, é ato administrativo voltado a questões meramente administrativas bem como para </w:t>
      </w:r>
      <w:r>
        <w:rPr>
          <w:rFonts w:ascii="Verdana" w:hAnsi="Verdana"/>
        </w:rPr>
        <w:t>regulamentar leis</w:t>
      </w:r>
      <w:r>
        <w:rPr>
          <w:rFonts w:ascii="Verdana" w:hAnsi="Verdana"/>
        </w:rPr>
        <w:t>, visando assim a fiel execução destas.</w:t>
      </w:r>
    </w:p>
    <w:p w:rsidR="00C8218A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Na Lei Orgânica Municipal, Art. 55, estão </w:t>
      </w:r>
      <w:r>
        <w:rPr>
          <w:rFonts w:ascii="Verdana" w:hAnsi="Verdana"/>
        </w:rPr>
        <w:t>as</w:t>
      </w:r>
      <w:r>
        <w:rPr>
          <w:rFonts w:ascii="Verdana" w:hAnsi="Verdana"/>
        </w:rPr>
        <w:t xml:space="preserve"> atribuições (leia-se também competências) do Prefeito Municipal. Diz o dispositivo:</w:t>
      </w:r>
    </w:p>
    <w:p w:rsidR="00C8218A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“Art. 55 – Ao Prefeito compete, entre outras atribuições:”</w:t>
      </w:r>
    </w:p>
    <w:p w:rsidR="00C8218A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E, assim, vemos em alguns dos incisos desse mesmo Art. 55 algumas competências que são sim, exclusivas, do Prefeito Municipal dispondo sobre elas por meio de decreto. Vejamos:</w:t>
      </w:r>
    </w:p>
    <w:p w:rsidR="00C8218A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“IV – decretar desapropriações e instituir servidões administrativas.”</w:t>
      </w:r>
    </w:p>
    <w:p w:rsidR="00C8218A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“V – expedir decretos, portarias e outros atos administrativos.”</w:t>
      </w:r>
    </w:p>
    <w:p w:rsidR="00C8218A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Vemos, portanto, na redação apontada, a competência para “decretar</w:t>
      </w:r>
      <w:r w:rsidR="00AC7E04">
        <w:rPr>
          <w:rFonts w:ascii="Verdana" w:hAnsi="Verdana"/>
        </w:rPr>
        <w:t xml:space="preserve"> desapropriações”. Obviamente, declara de utilidade pública para fins de desapropriação, por decreto.</w:t>
      </w:r>
    </w:p>
    <w:p w:rsidR="00AC7E04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E ainda, expedir decretos e outros atos administrativos. O que confirma o que acabamos de afirmar, decreto é ato administrativo de competência exclusiva do Poder Executivo.</w:t>
      </w:r>
    </w:p>
    <w:p w:rsidR="00AC7E04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A dúvida agora </w:t>
      </w:r>
      <w:r>
        <w:rPr>
          <w:rFonts w:ascii="Verdana" w:hAnsi="Verdana"/>
        </w:rPr>
        <w:t>é</w:t>
      </w:r>
      <w:r w:rsidR="00EB61B3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EB61B3">
        <w:rPr>
          <w:rFonts w:ascii="Verdana" w:hAnsi="Verdana"/>
        </w:rPr>
        <w:t>e</w:t>
      </w:r>
      <w:r>
        <w:rPr>
          <w:rFonts w:ascii="Verdana" w:hAnsi="Verdana"/>
        </w:rPr>
        <w:t>sse ato administrativo se presta para a denominação de logradouros e próprios municipais? Respeitosamente, e com fundamento na Lei Orgânica Municipal, pensamos que não.</w:t>
      </w:r>
    </w:p>
    <w:p w:rsidR="00AC7E04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EB61B3">
        <w:rPr>
          <w:rFonts w:ascii="Verdana" w:hAnsi="Verdana"/>
        </w:rPr>
        <w:t xml:space="preserve">O Art. 26 da Lei Orgânica Municipal dispõe que, </w:t>
      </w:r>
      <w:r w:rsidR="00EB61B3">
        <w:rPr>
          <w:rFonts w:ascii="Verdana" w:hAnsi="Verdana"/>
          <w:i/>
        </w:rPr>
        <w:t>verbis</w:t>
      </w:r>
      <w:r w:rsidR="00EB61B3">
        <w:rPr>
          <w:rFonts w:ascii="Verdana" w:hAnsi="Verdana"/>
        </w:rPr>
        <w:t>:</w:t>
      </w:r>
    </w:p>
    <w:p w:rsidR="00EB61B3" w:rsidP="00B32EE2">
      <w:pPr>
        <w:jc w:val="both"/>
        <w:rPr>
          <w:rFonts w:ascii="Verdana" w:hAnsi="Verdana"/>
        </w:rPr>
      </w:pPr>
    </w:p>
    <w:p w:rsidR="00EB61B3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“Art. 26 – Cabe à Câmara Municipal, com a sanção do Prefeito, dispor sobre as matérias de competência do Município, especialmente no que se refere a:”.</w:t>
      </w:r>
    </w:p>
    <w:p w:rsidR="00EB61B3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Importante notar, desde já, </w:t>
      </w:r>
      <w:r w:rsidR="00F44305">
        <w:rPr>
          <w:rFonts w:ascii="Verdana" w:hAnsi="Verdana"/>
        </w:rPr>
        <w:t>quando a Lei Orgânica trata que a competência é da Câmara Municipal, leia-se apreciar, com a sanção do Prefeito, evidentemente estamos tratando de lei. Somente a lei tem deliberação da Câmara Municipal e posterior sanção ou veto do Prefeito. Portanto, as matérias do Art. 26 são tratadas em lei.</w:t>
      </w:r>
    </w:p>
    <w:p w:rsidR="00F44305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Dito isso, vejamos o que dispõe o inciso XIV desse Art. 26, </w:t>
      </w:r>
      <w:r>
        <w:rPr>
          <w:rFonts w:ascii="Verdana" w:hAnsi="Verdana"/>
          <w:i/>
        </w:rPr>
        <w:t>verbis</w:t>
      </w:r>
      <w:r>
        <w:rPr>
          <w:rFonts w:ascii="Verdana" w:hAnsi="Verdana"/>
        </w:rPr>
        <w:t>:</w:t>
      </w:r>
    </w:p>
    <w:p w:rsidR="00F44305" w:rsidP="00B32EE2">
      <w:pPr>
        <w:jc w:val="both"/>
        <w:rPr>
          <w:rFonts w:ascii="Verdana" w:hAnsi="Verdana"/>
        </w:rPr>
      </w:pPr>
    </w:p>
    <w:p w:rsidR="00F44305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“XIV – denominação de próprios municipais, vias e logradouros públicos”.</w:t>
      </w:r>
    </w:p>
    <w:p w:rsidR="00F44305" w:rsidP="00B32EE2">
      <w:pPr>
        <w:jc w:val="both"/>
        <w:rPr>
          <w:rFonts w:ascii="Verdana" w:hAnsi="Verdana"/>
        </w:rPr>
      </w:pPr>
    </w:p>
    <w:p w:rsidR="00F44305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É importante, apenas para demonstrar a diferença, vermos também o disposto no Art. 27 da Lei Orgânica Municipal. Ele prevê:</w:t>
      </w:r>
    </w:p>
    <w:p w:rsidR="00C63D4E" w:rsidP="00B32EE2">
      <w:pPr>
        <w:jc w:val="both"/>
        <w:rPr>
          <w:rFonts w:ascii="Verdana" w:hAnsi="Verdana"/>
        </w:rPr>
      </w:pP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“Art. 26 – Compete à Câmara, privativamente, entre outras, as seguintes atribuições:”.</w:t>
      </w:r>
    </w:p>
    <w:p w:rsidR="00C63D4E" w:rsidP="00B32EE2">
      <w:pPr>
        <w:jc w:val="both"/>
        <w:rPr>
          <w:rFonts w:ascii="Verdana" w:hAnsi="Verdana"/>
        </w:rPr>
      </w:pP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Vemos que agora não se falar em sanção do Prefeito, mas sim que compete privativamente. Portanto, é ato somente da Câmara Municipal. Mas como é ato legislativo somente da Câmara, a competência ali exercida será por Decreto Legislativo ou Resolução, e não por lei.</w:t>
      </w:r>
    </w:p>
    <w:p w:rsidR="00C63D4E" w:rsidP="00B32EE2">
      <w:pPr>
        <w:jc w:val="both"/>
        <w:rPr>
          <w:rFonts w:ascii="Verdana" w:hAnsi="Verdana"/>
        </w:rPr>
      </w:pP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Por fim, para corroborar tudo o que já se </w:t>
      </w:r>
      <w:r>
        <w:rPr>
          <w:rFonts w:ascii="Verdana" w:hAnsi="Verdana"/>
        </w:rPr>
        <w:t>disse,</w:t>
      </w:r>
      <w:r>
        <w:rPr>
          <w:rFonts w:ascii="Verdana" w:hAnsi="Verdana"/>
        </w:rPr>
        <w:t xml:space="preserve"> os incisos II, alínea h, e V, do § 3º do Art. 47 da Lei Orgânica Municipal dissipam qualquer dúvida que ainda possa existir. Vejamos:</w:t>
      </w:r>
    </w:p>
    <w:p w:rsidR="00C63D4E" w:rsidP="00B32EE2">
      <w:pPr>
        <w:jc w:val="both"/>
        <w:rPr>
          <w:rFonts w:ascii="Verdana" w:hAnsi="Verdana"/>
        </w:rPr>
      </w:pP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“Art. 47 – A discussão e a votação das matérias constantes da Ordem do Dia só poderão ser efetuadas com a presença da maioria dos membros da Câmara.</w:t>
      </w: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.............</w:t>
      </w: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§ 3º - Dependerão do voto favorável de dois terços (2/3) dos membros da Câmara:</w:t>
      </w: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.............</w:t>
      </w: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II – as leis concernentes a:</w:t>
      </w: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...............</w:t>
      </w: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h) alteração de denominação de próprios, vias e logradouros públicos.</w:t>
      </w: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...............</w:t>
      </w: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V – concessão de título de cidadania ou qualquer outra honraria ou homenagem.</w:t>
      </w: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...............</w:t>
      </w:r>
      <w:r>
        <w:rPr>
          <w:rFonts w:ascii="Verdana" w:hAnsi="Verdana"/>
        </w:rPr>
        <w:t>”.</w:t>
      </w:r>
    </w:p>
    <w:p w:rsidR="00C63D4E" w:rsidP="00B32EE2">
      <w:pPr>
        <w:jc w:val="both"/>
        <w:rPr>
          <w:rFonts w:ascii="Verdana" w:hAnsi="Verdana"/>
        </w:rPr>
      </w:pPr>
    </w:p>
    <w:p w:rsidR="001950AF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Além da expressão previsão legislativa, respeitosamente, não encontramos em qualquer parte da Lei Orgânica Municipal qualquer autorização para o Prefeito Municipal denominar próprios municipais, bem como logradouros públicos, por decreto. E, se </w:t>
      </w:r>
      <w:r>
        <w:rPr>
          <w:rFonts w:ascii="Verdana" w:hAnsi="Verdana"/>
        </w:rPr>
        <w:t>houvesse,</w:t>
      </w:r>
      <w:r>
        <w:rPr>
          <w:rFonts w:ascii="Verdana" w:hAnsi="Verdana"/>
        </w:rPr>
        <w:t xml:space="preserve"> certamente o texto do veto o traria expressamente.</w:t>
      </w:r>
    </w:p>
    <w:p w:rsidR="001950AF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Afirmado tudo isso, como proceder em relação ao veto?</w:t>
      </w:r>
    </w:p>
    <w:p w:rsidR="001950AF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Se o veto for acolhido, aceito, aprovado, isso significará a rejeição do projeto de lei de autoria do Vereador Prof. </w:t>
      </w:r>
      <w:r>
        <w:rPr>
          <w:rFonts w:ascii="Verdana" w:hAnsi="Verdana"/>
        </w:rPr>
        <w:t>Jediel</w:t>
      </w:r>
      <w:r>
        <w:rPr>
          <w:rFonts w:ascii="Verdana" w:hAnsi="Verdana"/>
        </w:rPr>
        <w:t xml:space="preserve">. A lei não existirá. Diante disso, vai prevalecer a denominação por Decreto? Pensamos que não, respeitosamente, pois o Decreto não se presta para tal </w:t>
      </w:r>
      <w:r>
        <w:rPr>
          <w:rFonts w:ascii="Verdana" w:hAnsi="Verdana"/>
        </w:rPr>
        <w:t>mister</w:t>
      </w:r>
      <w:r>
        <w:rPr>
          <w:rFonts w:ascii="Verdana" w:hAnsi="Verdana"/>
        </w:rPr>
        <w:t>. Seria necessária a apresentação de outro projeto de lei, de iniciativa do Executivo ou dos vereadores, para que a denominação prevaleça.</w:t>
      </w:r>
    </w:p>
    <w:p w:rsidR="001950AF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Por outro lado, se o veto for derrubado, rejeitado, prevalecerá o projeto de lei aprovado na Câmara Municipal. Caberia então ao Prefeito Municipal apenas realizar a promulgação da lei, e se não o fizer, essa competência fica para a presidência da Câmara Municipal. É o processo legislativo previsto no Art. 43, §§ 5º e 7º da Lei Orgânica Municipal.</w:t>
      </w:r>
    </w:p>
    <w:p w:rsidR="001F182B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Ou ainda, por fim, o critério cronológico também prevaleceria. </w:t>
      </w:r>
      <w:r>
        <w:rPr>
          <w:rFonts w:ascii="Verdana" w:hAnsi="Verdana"/>
        </w:rPr>
        <w:t>A LINDB – Lei de Introdução às Normas do Direito Brasileiro</w:t>
      </w:r>
      <w:r>
        <w:rPr>
          <w:rFonts w:ascii="Verdana" w:hAnsi="Verdana"/>
        </w:rPr>
        <w:t>, prevê</w:t>
      </w:r>
      <w:r>
        <w:rPr>
          <w:rFonts w:ascii="Verdana" w:hAnsi="Verdana"/>
        </w:rPr>
        <w:t xml:space="preserve"> que:</w:t>
      </w:r>
    </w:p>
    <w:p w:rsidR="001F182B" w:rsidRPr="001F182B" w:rsidP="001F182B">
      <w:pPr>
        <w:pStyle w:val="NormalWeb"/>
        <w:jc w:val="both"/>
        <w:rPr>
          <w:rFonts w:ascii="Verdana" w:hAnsi="Verdana"/>
          <w:color w:val="000000"/>
          <w:sz w:val="22"/>
          <w:szCs w:val="22"/>
        </w:rPr>
      </w:pPr>
      <w:r w:rsidRPr="001F182B">
        <w:rPr>
          <w:rFonts w:ascii="Verdana" w:hAnsi="Verdana" w:cs="Arial"/>
          <w:color w:val="000000"/>
          <w:sz w:val="22"/>
          <w:szCs w:val="22"/>
        </w:rPr>
        <w:t>“Art. 2</w:t>
      </w:r>
      <w:r w:rsidRPr="001F182B">
        <w:rPr>
          <w:rFonts w:ascii="Verdana" w:hAnsi="Verdana" w:cs="Arial"/>
          <w:color w:val="000000"/>
          <w:sz w:val="22"/>
          <w:szCs w:val="22"/>
          <w:u w:val="single"/>
          <w:vertAlign w:val="superscript"/>
        </w:rPr>
        <w:t>o</w:t>
      </w:r>
      <w:r w:rsidRPr="001F182B">
        <w:rPr>
          <w:rFonts w:ascii="Verdana" w:hAnsi="Verdana" w:cs="Arial"/>
          <w:color w:val="000000"/>
          <w:sz w:val="22"/>
          <w:szCs w:val="22"/>
        </w:rPr>
        <w:t>  Não se destinando à vigência temporária, a lei terá vigor até que outra a modifique ou revogue.</w:t>
      </w:r>
    </w:p>
    <w:p w:rsidR="001F182B" w:rsidRPr="001F182B" w:rsidP="001F182B">
      <w:pPr>
        <w:pStyle w:val="NormalWeb"/>
        <w:jc w:val="both"/>
        <w:rPr>
          <w:rFonts w:ascii="Verdana" w:hAnsi="Verdana" w:cs="Arial"/>
          <w:color w:val="000000"/>
          <w:sz w:val="22"/>
          <w:szCs w:val="22"/>
        </w:rPr>
      </w:pPr>
      <w:r w:rsidRPr="001F182B">
        <w:rPr>
          <w:rFonts w:ascii="Verdana" w:hAnsi="Verdana" w:cs="Arial"/>
          <w:color w:val="000000"/>
          <w:sz w:val="22"/>
          <w:szCs w:val="22"/>
        </w:rPr>
        <w:t>§ 1</w:t>
      </w:r>
      <w:r w:rsidRPr="001F182B">
        <w:rPr>
          <w:rFonts w:ascii="Verdana" w:hAnsi="Verdana" w:cs="Arial"/>
          <w:color w:val="000000"/>
          <w:sz w:val="22"/>
          <w:szCs w:val="22"/>
          <w:u w:val="single"/>
          <w:vertAlign w:val="superscript"/>
        </w:rPr>
        <w:t>o</w:t>
      </w:r>
      <w:r w:rsidRPr="001F182B">
        <w:rPr>
          <w:rFonts w:ascii="Verdana" w:hAnsi="Verdana" w:cs="Arial"/>
          <w:color w:val="000000"/>
          <w:sz w:val="22"/>
          <w:szCs w:val="22"/>
        </w:rPr>
        <w:t>  A lei posterior revoga a anterior quando expressamente o declare, quando seja com ela incompatível ou quando regule inteiramente a matéria de que tratava a lei anterior.</w:t>
      </w:r>
    </w:p>
    <w:p w:rsidR="001F182B" w:rsidP="001F182B">
      <w:pPr>
        <w:pStyle w:val="NormalWeb"/>
        <w:rPr>
          <w:rFonts w:ascii="Verdana" w:hAnsi="Verdana" w:cs="Arial"/>
          <w:color w:val="000000"/>
          <w:sz w:val="22"/>
          <w:szCs w:val="22"/>
        </w:rPr>
      </w:pPr>
      <w:r w:rsidRPr="001F182B">
        <w:rPr>
          <w:rFonts w:ascii="Verdana" w:hAnsi="Verdana" w:cs="Arial"/>
          <w:color w:val="000000"/>
          <w:sz w:val="22"/>
          <w:szCs w:val="22"/>
        </w:rPr>
        <w:t>..............</w:t>
      </w:r>
      <w:r w:rsidRPr="001F182B">
        <w:rPr>
          <w:rFonts w:ascii="Verdana" w:hAnsi="Verdana" w:cs="Arial"/>
          <w:color w:val="000000"/>
          <w:sz w:val="22"/>
          <w:szCs w:val="22"/>
        </w:rPr>
        <w:t>”.</w:t>
      </w:r>
    </w:p>
    <w:p w:rsidR="001F182B" w:rsidP="001F182B">
      <w:pPr>
        <w:pStyle w:val="NormalWeb"/>
        <w:rPr>
          <w:rFonts w:ascii="Verdana" w:hAnsi="Verdana" w:cs="Arial"/>
          <w:color w:val="000000"/>
          <w:sz w:val="22"/>
          <w:szCs w:val="22"/>
        </w:rPr>
      </w:pPr>
    </w:p>
    <w:p w:rsidR="001F182B" w:rsidP="001F182B">
      <w:pPr>
        <w:pStyle w:val="NormalWeb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ab/>
      </w:r>
      <w:r>
        <w:rPr>
          <w:rFonts w:ascii="Verdana" w:hAnsi="Verdana" w:cs="Arial"/>
          <w:color w:val="000000"/>
          <w:sz w:val="22"/>
          <w:szCs w:val="22"/>
        </w:rPr>
        <w:tab/>
        <w:t>São atos distintos, um é Decreto, ato administrativo, e o outro será lei (caso promulgada), ato legislativo. Portanto, não há que se falar em critério hierárquico.</w:t>
      </w:r>
    </w:p>
    <w:p w:rsidR="001F182B" w:rsidP="001F182B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2"/>
          <w:szCs w:val="22"/>
        </w:rPr>
        <w:tab/>
      </w:r>
      <w:r>
        <w:rPr>
          <w:rFonts w:ascii="Verdana" w:hAnsi="Verdana" w:cs="Arial"/>
          <w:color w:val="000000"/>
          <w:sz w:val="22"/>
          <w:szCs w:val="22"/>
        </w:rPr>
        <w:tab/>
        <w:t xml:space="preserve">Mas se pensarmos em critério cronológico, levando-se em conta normas, então </w:t>
      </w:r>
      <w:r>
        <w:rPr>
          <w:rFonts w:ascii="Verdana" w:hAnsi="Verdana" w:cs="Arial"/>
          <w:color w:val="000000"/>
          <w:sz w:val="22"/>
          <w:szCs w:val="22"/>
        </w:rPr>
        <w:t>teremos</w:t>
      </w:r>
      <w:r>
        <w:rPr>
          <w:rFonts w:ascii="Verdana" w:hAnsi="Verdana" w:cs="Arial"/>
          <w:color w:val="000000"/>
          <w:sz w:val="22"/>
          <w:szCs w:val="22"/>
        </w:rPr>
        <w:t xml:space="preserve"> que a norma posterior revoga a anterior, conforme exposto acima.</w:t>
      </w:r>
    </w:p>
    <w:p w:rsidR="00932CC8" w:rsidRPr="00AD44A1" w:rsidP="00932CC8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  <w:t xml:space="preserve">Deverá ser submetido a uma fase de discussão e votação, e para sua aprovação necessitará dos votos da maioria </w:t>
      </w:r>
      <w:r w:rsidR="002E7CE8">
        <w:rPr>
          <w:rFonts w:ascii="Verdana" w:hAnsi="Verdana"/>
        </w:rPr>
        <w:t>absoluta</w:t>
      </w:r>
      <w:r w:rsidRPr="00AD44A1">
        <w:rPr>
          <w:rFonts w:ascii="Verdana" w:hAnsi="Verdana"/>
        </w:rPr>
        <w:t xml:space="preserve"> dos Nobres </w:t>
      </w:r>
      <w:r w:rsidRPr="00AD44A1">
        <w:rPr>
          <w:rFonts w:ascii="Verdana" w:hAnsi="Verdana"/>
        </w:rPr>
        <w:t>Edis</w:t>
      </w:r>
      <w:r w:rsidRPr="00AD44A1">
        <w:rPr>
          <w:rFonts w:ascii="Verdana" w:hAnsi="Verdana"/>
        </w:rPr>
        <w:t xml:space="preserve">, conforme os </w:t>
      </w:r>
      <w:r w:rsidRPr="00AD44A1">
        <w:rPr>
          <w:rFonts w:ascii="Verdana" w:hAnsi="Verdana"/>
        </w:rPr>
        <w:t>Arts</w:t>
      </w:r>
      <w:r w:rsidRPr="00AD44A1">
        <w:rPr>
          <w:rFonts w:ascii="Verdana" w:hAnsi="Verdana"/>
        </w:rPr>
        <w:t>. 238 e 2</w:t>
      </w:r>
      <w:r w:rsidR="00766F94">
        <w:rPr>
          <w:rFonts w:ascii="Verdana" w:hAnsi="Verdana"/>
        </w:rPr>
        <w:t>18</w:t>
      </w:r>
      <w:r w:rsidRPr="00AD44A1">
        <w:rPr>
          <w:rFonts w:ascii="Verdana" w:hAnsi="Verdana"/>
        </w:rPr>
        <w:t xml:space="preserve"> todos do Regimento Interno. </w:t>
      </w:r>
      <w:r w:rsidR="002E7CE8">
        <w:rPr>
          <w:rFonts w:ascii="Verdana" w:hAnsi="Verdana"/>
        </w:rPr>
        <w:t>Deve ser apreciado no prazo de trinta dias</w:t>
      </w:r>
      <w:r w:rsidR="00766F94">
        <w:rPr>
          <w:rFonts w:ascii="Verdana" w:hAnsi="Verdana"/>
        </w:rPr>
        <w:t>, conforme Art. 219, também do Regimento Interno</w:t>
      </w:r>
      <w:r w:rsidRPr="00AD44A1">
        <w:rPr>
          <w:rFonts w:ascii="Verdana" w:hAnsi="Verdana"/>
        </w:rPr>
        <w:t>.</w:t>
      </w:r>
    </w:p>
    <w:p w:rsidR="00932CC8" w:rsidRPr="00AD44A1" w:rsidP="00932CC8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</w:r>
    </w:p>
    <w:p w:rsidR="00932CC8" w:rsidRPr="00AD44A1" w:rsidP="00932CC8">
      <w:pPr>
        <w:ind w:left="708" w:firstLine="708"/>
        <w:jc w:val="both"/>
        <w:rPr>
          <w:rFonts w:ascii="Verdana" w:hAnsi="Verdana"/>
        </w:rPr>
      </w:pPr>
      <w:r w:rsidRPr="00AD44A1">
        <w:rPr>
          <w:rFonts w:ascii="Verdana" w:hAnsi="Verdana"/>
        </w:rPr>
        <w:t>Salvo melhor juízo, é o nosso parecer.</w:t>
      </w:r>
    </w:p>
    <w:p w:rsidR="00932CC8" w:rsidRPr="00AD44A1" w:rsidP="00932CC8">
      <w:pPr>
        <w:jc w:val="both"/>
        <w:rPr>
          <w:rFonts w:ascii="Verdana" w:hAnsi="Verdana"/>
        </w:rPr>
      </w:pPr>
    </w:p>
    <w:p w:rsidR="00932CC8" w:rsidRPr="00AD44A1" w:rsidP="00932CC8">
      <w:pPr>
        <w:jc w:val="both"/>
        <w:rPr>
          <w:rFonts w:ascii="Verdana" w:hAnsi="Verdana"/>
        </w:rPr>
      </w:pPr>
    </w:p>
    <w:p w:rsidR="00932CC8" w:rsidRPr="00AD44A1" w:rsidP="00932CC8">
      <w:pPr>
        <w:jc w:val="center"/>
        <w:rPr>
          <w:rFonts w:ascii="Verdana" w:hAnsi="Verdana"/>
        </w:rPr>
      </w:pPr>
      <w:r w:rsidRPr="00AD44A1">
        <w:rPr>
          <w:rFonts w:ascii="Verdana" w:hAnsi="Verdana"/>
        </w:rPr>
        <w:t xml:space="preserve">Alumínio, </w:t>
      </w:r>
      <w:r w:rsidR="00BD324B">
        <w:rPr>
          <w:rFonts w:ascii="Verdana" w:hAnsi="Verdana"/>
        </w:rPr>
        <w:t>30</w:t>
      </w:r>
      <w:r w:rsidRPr="00AD44A1">
        <w:rPr>
          <w:rFonts w:ascii="Verdana" w:hAnsi="Verdana"/>
        </w:rPr>
        <w:t xml:space="preserve"> de setembro de 202</w:t>
      </w:r>
      <w:r w:rsidR="00BD324B">
        <w:rPr>
          <w:rFonts w:ascii="Verdana" w:hAnsi="Verdana"/>
        </w:rPr>
        <w:t>4</w:t>
      </w:r>
      <w:r w:rsidRPr="00AD44A1">
        <w:rPr>
          <w:rFonts w:ascii="Verdana" w:hAnsi="Verdana"/>
        </w:rPr>
        <w:t>.</w:t>
      </w:r>
    </w:p>
    <w:p w:rsidR="00932CC8" w:rsidRPr="00AD44A1" w:rsidP="00932CC8">
      <w:pPr>
        <w:jc w:val="center"/>
        <w:rPr>
          <w:rFonts w:ascii="Verdana" w:hAnsi="Verdana"/>
        </w:rPr>
      </w:pPr>
    </w:p>
    <w:p w:rsidR="00932CC8" w:rsidRPr="00AD44A1" w:rsidP="00932CC8">
      <w:pPr>
        <w:jc w:val="center"/>
        <w:rPr>
          <w:rFonts w:ascii="Verdana" w:hAnsi="Verdana"/>
        </w:rPr>
      </w:pPr>
    </w:p>
    <w:p w:rsidR="00932CC8" w:rsidRPr="00AD44A1" w:rsidP="00932CC8">
      <w:pPr>
        <w:jc w:val="center"/>
        <w:rPr>
          <w:rFonts w:ascii="Verdana" w:hAnsi="Verdana"/>
        </w:rPr>
      </w:pPr>
      <w:r w:rsidRPr="00AD44A1">
        <w:rPr>
          <w:rFonts w:ascii="Verdana" w:hAnsi="Verdana"/>
        </w:rPr>
        <w:t>JOSÉ AUGUSTO PINTO DO AMARAL</w:t>
      </w:r>
    </w:p>
    <w:p w:rsidR="00932CC8" w:rsidRPr="00AD44A1" w:rsidP="00932CC8">
      <w:pPr>
        <w:jc w:val="center"/>
        <w:rPr>
          <w:rFonts w:ascii="Verdana" w:hAnsi="Verdana"/>
        </w:rPr>
      </w:pPr>
      <w:r w:rsidRPr="00AD44A1">
        <w:rPr>
          <w:rFonts w:ascii="Verdana" w:hAnsi="Verdana"/>
        </w:rPr>
        <w:t>Diretor Jurídico</w:t>
      </w:r>
    </w:p>
    <w:p w:rsidR="00932CC8" w:rsidRPr="00AD44A1" w:rsidP="00932CC8">
      <w:pPr>
        <w:jc w:val="center"/>
        <w:rPr>
          <w:rFonts w:ascii="Verdana" w:hAnsi="Verdana"/>
        </w:rPr>
      </w:pPr>
      <w:r w:rsidRPr="00AD44A1">
        <w:rPr>
          <w:rFonts w:ascii="Verdana" w:hAnsi="Verdana"/>
        </w:rPr>
        <w:t>OAB/SP 144.205</w:t>
      </w:r>
    </w:p>
    <w:p w:rsidR="00932CC8" w:rsidP="00932CC8">
      <w:pPr>
        <w:jc w:val="both"/>
      </w:pPr>
    </w:p>
    <w:p w:rsidR="00932CC8" w:rsidP="00932CC8">
      <w:pPr>
        <w:jc w:val="both"/>
      </w:pPr>
    </w:p>
    <w:sectPr w:rsidSect="00F22199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CC8"/>
    <w:rsid w:val="001950AF"/>
    <w:rsid w:val="001F182B"/>
    <w:rsid w:val="002E7CE8"/>
    <w:rsid w:val="00512059"/>
    <w:rsid w:val="00726A7E"/>
    <w:rsid w:val="00755F21"/>
    <w:rsid w:val="00766F94"/>
    <w:rsid w:val="00932CC8"/>
    <w:rsid w:val="00AC7E04"/>
    <w:rsid w:val="00AD44A1"/>
    <w:rsid w:val="00B32EE2"/>
    <w:rsid w:val="00BD324B"/>
    <w:rsid w:val="00C63D4E"/>
    <w:rsid w:val="00C8218A"/>
    <w:rsid w:val="00EB61B3"/>
    <w:rsid w:val="00F22199"/>
    <w:rsid w:val="00F4430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C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1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1273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NoteDellJuridico</dc:creator>
  <cp:lastModifiedBy>Usuário do Windows</cp:lastModifiedBy>
  <cp:revision>7</cp:revision>
  <cp:lastPrinted>2024-09-30T18:27:09Z</cp:lastPrinted>
  <dcterms:created xsi:type="dcterms:W3CDTF">2024-09-30T16:31:00Z</dcterms:created>
  <dcterms:modified xsi:type="dcterms:W3CDTF">2024-09-30T17:40:00Z</dcterms:modified>
</cp:coreProperties>
</file>