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495" w:rsidP="00032495" w14:paraId="3D4AB98C" w14:textId="56F7DCE0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350/2026 ao Projeto de Lei Nº 28/2026</w:t>
      </w:r>
      <w:r w:rsidRPr="00813B98" w:rsidR="002E5E6C">
        <w:rPr>
          <w:bCs/>
          <w:sz w:val="28"/>
          <w:szCs w:val="28"/>
        </w:rPr>
        <w:t xml:space="preserve">, DA COMISSÃO DE </w:t>
      </w:r>
      <w:r w:rsidRPr="00813B98" w:rsidR="00601AAC">
        <w:rPr>
          <w:bCs/>
          <w:sz w:val="28"/>
          <w:szCs w:val="28"/>
        </w:rPr>
        <w:t>O</w:t>
      </w:r>
      <w:r w:rsidRPr="00813B98" w:rsidR="008810AF">
        <w:rPr>
          <w:bCs/>
          <w:sz w:val="28"/>
          <w:szCs w:val="28"/>
        </w:rPr>
        <w:t>RÇAMENTO E FINANÇAS</w:t>
      </w:r>
      <w:r w:rsidRPr="00813B98" w:rsidR="002E5E6C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{Tipo} ao Projeto de Lei Nº 28/2026 - Dispõe sobre as diretrizes orçamentárias para elaboração e execução da Lei Orçamentária Anual do Município de Alumínio para o exercício financeiro de 2027, e dá outras providências.</w:t>
      </w:r>
      <w:r>
        <w:rPr>
          <w:bCs/>
          <w:sz w:val="28"/>
          <w:szCs w:val="28"/>
        </w:rPr>
        <w:t>.</w:t>
      </w:r>
    </w:p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5F5BFD9D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3EDA2A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Pr="0010639B" w:rsidR="00E00493">
        <w:rPr>
          <w:sz w:val="28"/>
          <w:szCs w:val="28"/>
        </w:rPr>
        <w:t>Segunda-Feira, 22 de junho de 2026</w:t>
      </w:r>
      <w:bookmarkStart w:id="0" w:name="_GoBack"/>
      <w:bookmarkEnd w:id="0"/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18B" w:rsidP="00E6118B" w14:paraId="0DE382DD" w14:textId="0DB148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6118B" w:rsidP="00E6118B" w14:paraId="26D72DD6" w14:textId="5364A76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50ED7B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92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fabio</cp:lastModifiedBy>
  <cp:revision>4</cp:revision>
  <cp:lastPrinted>2025-05-19T20:16:00Z</cp:lastPrinted>
  <dcterms:created xsi:type="dcterms:W3CDTF">2026-02-27T16:28:00Z</dcterms:created>
  <dcterms:modified xsi:type="dcterms:W3CDTF">2026-02-27T19:13:00Z</dcterms:modified>
</cp:coreProperties>
</file>